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87R5762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periodic review of state and local tax preferences and the expiration of certain tax preferences if not reauthorized by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periodic review of state and local tax preferences;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the term "tax preference" for the purposes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methods, timing, and administrative procedures for implementing the requirements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reauthorized by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preference that first takes effect on or after September 1, 2022, expires six years after the date the law enacting or most recently reauthorizing the tax preference takes effect, except that the legislature may provide for an earlier expiration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preference that takes effect before September 1, 2022, and that is reauthorized by law on or after that date expires six years after the date the law most recently reauthorizing the tax preference takes effect, except that the legislature may provide for an earlier expiration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requiring the legislature to provide for a periodic review of state and local tax preferences and providing for the expiration of certain tax preferences after six years, or at another time prescribed by the legislature, unless reauthorized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27, Article VIII, of this constitution, as added by the amendment,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2,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requiring the legislature to provide for a periodic review of state and local tax preferences and providing for the expiration of certain tax preferences after six years, or at another time prescribed by the legislature, unless reauthorized by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