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H.J.R.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restrict the power of the legislature to mandate requirements on a municipality or county.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law enacted by the legislature on or after January 1, 2022, that requires a municipality or county to establish, expand, or modify a duty or activity that requires the expenditure of revenue by the municipality or county is not effective unless the legislature appropriates or otherwise provides, from a source other than the revenue of the municipality or county, for the payment or reimbursement of the costs incurred for the biennium by the municipality or county in complying with the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restrict the power of the legislature to mandate unfunded requirements on a municipality or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