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87R2577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H.J.R.</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exempt from ad valorem taxation the total market value of the residence homesteads of certain elderly persons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 person is entitled to an exemption from ad valorem taxation of the total market value of the person's residence homestead if the person is 80 years of age or older and the person has received an exemption under this section for the residence homestead for at least the preceding 10 years. The surviving spouse of a person who received an exemption under this subsection for the residence homestead of a person 80 years of age or older is entitled to an exemption from ad valorem taxation of the total market value of the same property if the deceased spouse died in a year in which the deceased spouse received the exemption, the surviving spouse was 55 years of age or older when the deceased spouse died, and the property was the residence homestead of the surviving spouse when the deceased spouse died and remains the residence homestead of the surviving spouse. Where ad valorem tax of a political subdivision has previously been pledged for the payment of debt, the taxing officers of the political subdivision may continue to levy and collect the tax against the value of residence homesteads exempted under this subsection until the debt is discharged if the cessation of the levy would impair the obligation of the contract by which the debt was created. The legislature shall provide for formulas to protect school districts against all or part of the revenue loss incurred by the implementation of this subsection. The legislature by general law may prescribe procedures for the administration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87th Legislature, Regular Session, 2021, to exempt from ad valorem taxation the total market value of the residence homesteads of certain elderly persons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1-b(t), Article VIII,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exempt from ad valorem taxation the total market value of the residence homestead of a person 80 years of age or older or the person's surviving spouse."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