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87R3917 NC-F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Schofield</w:t>
      </w:r>
      <w:r xml:space="preserve">
        <w:tab wTab="150" tlc="none" cTlc="0"/>
      </w:r>
      <w:r>
        <w:t xml:space="preserve">H.J.R.</w:t>
      </w:r>
      <w:r xml:space="preserve">
        <w:t> </w:t>
      </w:r>
      <w:r>
        <w:t xml:space="preserve">No.</w:t>
      </w:r>
      <w:r xml:space="preserve">
        <w:t> </w:t>
      </w:r>
      <w:r>
        <w:t xml:space="preserve">93</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taking of property by eminent domain for the purpose of transferring the property to a private entity.</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17(b), Article I, Texas Constitution, is amended to read as follows:</w:t>
      </w:r>
    </w:p>
    <w:p w:rsidR="003F3435" w:rsidRDefault="0032493E">
      <w:pPr>
        <w:spacing w:line="480" w:lineRule="auto"/>
        <w:ind w:firstLine="720"/>
        <w:jc w:val="both"/>
      </w:pPr>
      <w:r>
        <w:t xml:space="preserve">(b)</w:t>
      </w:r>
      <w:r xml:space="preserve">
        <w:t> </w:t>
      </w:r>
      <w:r xml:space="preserve">
        <w:t> </w:t>
      </w:r>
      <w:r>
        <w:t xml:space="preserve">In this section, "public use" does not include the taking of property under Subsection (a) of this section for transfer to a private entity [</w:t>
      </w:r>
      <w:r>
        <w:rPr>
          <w:strike/>
        </w:rPr>
        <w:t xml:space="preserve">for the primary purpose of economic development or enhancement of tax revenues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2, 2021.  The ballot shall be printed to permit voting for or against the proposition: "The constitutional amendment prohibiting the taking of property by eminent domain for the purpose of transferring the property to a private entity."</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93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