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H.J.R.</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right of a person to travel in and operate a vehicle using human decision-making.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 person has the right to travel in a vehicle using human decision-making to operate the vehicle,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laws or regulations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is authorized to operate a motor vehicle, a type of vehicle, or a class of vehicles;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mental or physical competency required to operate a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laws or regulations that impose or are subject to a criminal penalty;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restrictions of the use of a vehicle due to admission of, or conviction of a criminal statute, or violation of an administrative regulation, except no statute or regulation may be enacted the purpose of which is to bar the rights granted herein.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recognizing the right of a person to travel in a vehicle using human decision-making to operate the vehicle.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