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87R10361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H.J.R.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operation of casino gaming in certain state coastal areas to provide additional money for property tax relief; providing for occupational licensing and certification; authorizing fees; limiting certain taxes and fees.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The legislature by general law in accordance with this section shall authorize the operation of casino gaming in this state in which individuals for consideration play games of chance that award prizes and are operated by persons licensed or otherwise authorized by this state to conduct casino gaming to provide additional money for property tax relief.  A general law enacted in accordance with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casino gaming operated by appropriately licensed persons at locations in this state that are within 200 miles of the Gulf of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and certification program, including criminal history record information, any necessary background investigations, and licensing and certification fees, to govern a person that manages casino gaming operations in this state, that acts as a gaming employee,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maintaining criminal history record information for this state to grant access to the information to the state agency responsible for licensing and certification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monitoring and inspecting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general law enacted in accordance with Subsection (a) of this section, the legislature may designate the counties in which a casino gaming operator's license may be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operation of casino gaming in certain state coastal areas to provide additional money for property tax relief."</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