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87R10971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H.J.R.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establish a lower limit on the maximum appraised value of residence homesteads for ad valorem tax purposes and to establish a limit on the value of single-family residences other than residence homesteads for those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amending Subsection (i) and adding Subsection (k)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105</w:t>
      </w:r>
      <w:r>
        <w:t xml:space="preserve"> [</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and (b) of this section, the Legislature by general law may limit the maximum appraised value of a single-family residence other than a residence homestead for ad valorem tax purposes in a tax year to the lesser of the most recent market value of the property as determined by the appraisal entity or 110 percent, or a greater percentage, of the appraised value of the property for the preceding tax year.  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single-family residence on the later of the effective date of the law imposing the limitation or January 1 of the tax year following the first tax year in which the owner owns the property on January 1 and in which the property is used as a single-family residence;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tax year in which the owner of the property ceases to own the property or the property ceases to be used as a single-family residence.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authorize the legislature to limit the maximum appraised value of a residence homestead for ad valorem tax purposes to 105 percent or more of the appraised value of the property for the preceding tax year and to limit the maximum appraised value of a single-family residence other than a residence homestead for those purposes to 110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