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87R12546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H.J.R.</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procedures to fill a vacancy in the office of Speaker of the House of Representatives.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9(b), Article 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House of Representatives shall, when it first assembles </w:t>
      </w:r>
      <w:r>
        <w:rPr>
          <w:u w:val="single"/>
        </w:rPr>
        <w:t xml:space="preserve">in regular session</w:t>
      </w:r>
      <w:r>
        <w:t xml:space="preserve">, organize temporarily, and thereupon proceed to the election of a Speaker from its own members.  </w:t>
      </w:r>
      <w:r>
        <w:rPr>
          <w:u w:val="single"/>
        </w:rPr>
        <w:t xml:space="preserve">The Speaker shall, during the first 30 days of each regular session and at such other times as may be necessary, select another member of the House as Speaker pro tempore. </w:t>
      </w:r>
      <w:r>
        <w:rPr>
          <w:u w:val="single"/>
        </w:rPr>
        <w:t xml:space="preserve"> </w:t>
      </w:r>
      <w:r>
        <w:rPr>
          <w:u w:val="single"/>
        </w:rPr>
        <w:t xml:space="preserve">If the office of Speaker becomes vacant, the Speaker pro tempore shall convene the Committee of the Whole House of Representatives within 30 days after the vacancy occurs.  The Committee of the Whole shall elect one of its members Speaker to serve until the House next assembles in regular session.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procedures to fill a vacancy in the office of Speaker of the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