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87R9802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H.J.R.</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appraisal of real property for ad valorem tax purposes based on its purchase price.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(a), (b), and (i) of this section, for each tax year following the year in which the property was purchased until the end of the tax year in which the ownership of the property changes, the legislature by general law may limit the maximum appraised value of real property for ad valorem tax purposes to the lesser of the market value of the property as determined by the appraisal entity or the sum of the amount the owner of the property paid for the property and the initial market value of each new improvement to the property.  The applicability of a general law enacted under this subsection must be limited to a bona fide purchaser for value of a property who, in the manner provided by law, applies for the limitation on appraised value under this subsection not later than a date prescribed by general law in the tax year following the year in which the person purchased the property.  The maximum appraised value of a residence homestead that is subject to a limitation on appraised value authorized by this subsection and to a limitation authorized by Subsection (i) of this section is equal to the lesser of the amount authorized by this subsection or the amount authorized by that subsection. The legislature may prescribe or delegate to an appropriate public official or entity the authority to prescribe standards and procedures to administer a law enacted under this subsection, including criteria to be used to determine whether a person was a bona fide purchaser for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appraisal of real property for ad valorem tax purposes based on its purchase price."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