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87R5581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w:t>
      </w:r>
      <w:r>
        <w:rPr>
          <w:u w:val="single"/>
        </w:rPr>
        <w:t xml:space="preserve">or who is disabled</w:t>
      </w:r>
      <w:r>
        <w:t xml:space="preserve">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The changes to the law made by Section 1, Chapter 1284 (H.B. 1313), Acts of the 86th Legislature, Regular Session, 2019, are validated.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taken by a tax official in reliance on Section 1, Chapter 1284 (H.B. 1313), Acts of the 86th Legislature, Regular Session, 2019, is validated.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collector who collected school district ad valorem taxes from a surviving spouse who, under the law as amended by Section 1, Chapter 1284 (H.B. 1313), Acts of the 86th Legislature, Regular Session, 2019, was entitled to receive a limitation on school district  taxes on the spouse's residence homestead shall calculate the school district taxes that should have been imposed for the 2020 and 2021 tax years taking into account the change in law made by that Act and, if the taxes collected by the collector for those tax years exceed the taxes that should have been imposed as calculated under this subsection, the collector shall refund to the surviving spouse the difference between the taxes collected and the taxes that should have been imposed as calculated under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