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87R11784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H.J.R.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specify the manner in which certain amounts distributed from the permanent university fund to the available university fund are allocated or used.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 Article VII, Texas Constitution,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This subsection applies to the annual distributions to the available university fund that are available for appropriation by the board of regents of The University of Texas System or The Texas A&amp;M University System under Subsection (f) of this section, other than the annual sum sufficient to pay the principal and interest due on the bonds and notes described by Subsection (f).  Notwithstanding Subsection (f) of this section, the legislature by general law or in an appropriation act for the appropriate fiscal year may specify the manner in which the portion of the annual distribution to which this subsection applies may be allocated to or used by the applicable board of regents as the legislature determines to be in the best interests of the applicable university system.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the legislature to specify the manner in which certain amounts distributed from the permanent university fund to the available university fund are allocated or used."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