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87R13798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H.J.R.</w:t>
      </w:r>
      <w:r xml:space="preserve">
        <w:t> </w:t>
      </w:r>
      <w:r>
        <w:t xml:space="preserve">No.</w:t>
      </w:r>
      <w:r xml:space="preserve">
        <w:t> </w:t>
      </w:r>
      <w:r>
        <w:t xml:space="preserve">144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legislature to provide for a credit against the ad valorem taxes imposed on property on which a solar energy device has been installed based on the cost of acquiring and installing the device.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1-v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1-v.</w:t>
      </w:r>
      <w:r>
        <w:rPr>
          <w:u w:val="single"/>
        </w:rPr>
        <w:t xml:space="preserve"> </w:t>
      </w:r>
      <w:r>
        <w:rPr>
          <w:u w:val="single"/>
        </w:rPr>
        <w:t xml:space="preserve"> </w:t>
      </w:r>
      <w:r>
        <w:rPr>
          <w:u w:val="single"/>
        </w:rPr>
        <w:t xml:space="preserve">(a)  The legislature by general law may provide for a credit against the ad valorem taxes on property on which a solar energy device has been installed based on the cost incurred by the property owner in acquiring and installing the device.  The general law may provide formulas for computing the amount of the credit a property owner may receive in a tax year and may impose a limitation on the number of tax years for which the property owner may receive the exemption.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credit authorized by general law enacted under this section is in addition to any exemption from ad valorem taxation applicable to a solar energy device authorized by a general law enacted under Section 2(a) of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authorize the legislature to provide for a credit against the ad valorem taxes imposed on property on which a solar energy device has been installed based on the cost of acquiring and installing the device."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