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87R12374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appraised value of real property for ad valorem tax purposes to the value when the owner acquired the property and to provide for determining that value on the basis of the purchase price of the property, if applicable.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property</w:t>
      </w:r>
      <w:r>
        <w:t xml:space="preserve"> [</w:t>
      </w:r>
      <w:r>
        <w:rPr>
          <w:strike/>
        </w:rPr>
        <w:t xml:space="preserve">residence homestead</w:t>
      </w:r>
      <w:r>
        <w:t xml:space="preserve">] as determined by the appraisal entity or </w:t>
      </w:r>
      <w:r>
        <w:rPr>
          <w:u w:val="single"/>
        </w:rPr>
        <w:t xml:space="preserve">the sum of</w:t>
      </w:r>
      <w:r>
        <w:t xml:space="preserve"> [</w:t>
      </w:r>
      <w:r>
        <w:rPr>
          <w:strike/>
        </w:rPr>
        <w:t xml:space="preserve">110 percent, or a greater percentage, of</w:t>
      </w:r>
      <w:r>
        <w:t xml:space="preserve">] the appraised value of the </w:t>
      </w:r>
      <w:r>
        <w:rPr>
          <w:u w:val="single"/>
        </w:rPr>
        <w:t xml:space="preserve">property</w:t>
      </w:r>
      <w:r>
        <w:t xml:space="preserve"> [</w:t>
      </w:r>
      <w:r>
        <w:rPr>
          <w:strike/>
        </w:rPr>
        <w:t xml:space="preserve">residence homestead</w:t>
      </w:r>
      <w:r>
        <w:t xml:space="preserve">] for the [</w:t>
      </w:r>
      <w:r>
        <w:rPr>
          <w:strike/>
        </w:rPr>
        <w:t xml:space="preserve">preceding</w:t>
      </w:r>
      <w:r>
        <w:t xml:space="preserve">] tax year </w:t>
      </w:r>
      <w:r>
        <w:rPr>
          <w:u w:val="single"/>
        </w:rPr>
        <w:t xml:space="preserve">in which the owner acquired the property and the initial market value of each new improvement to the property.  The Legislature may provide for determining the appraised value of the property for the tax year in which the owner acquired the property on the basis of the purchase price the owner paid for the property if the owner was a bona fide purchaser for value and applies for the limitation on appraised value under this subsection not later than a date prescribed by general law in the tax year following the year in which the person purchased the property.  The Legislature may prescribe or delegate to an appropriate public official or entity the authority to prescribe standards and procedures to administer a law enacted under this subsection, including criteria to be used to determine whether a person is a bona fide purchaser for value</w:t>
      </w:r>
      <w:r>
        <w:t xml:space="preserve">.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limit the appraised value of real property for ad valorem tax purposes to the value when the owner acquired the property and to provide for determining that value on the basis of the purchase price of the property, if applicable."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