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87R12947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H.J.R.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that the officials responsible for appraising property for ad valorem taxation in a county may exclude from consideration the value of new or substantially remodeled residential property when determining the market value of an older residence homestead located in or near a tax increment financing reinvestment zone.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legislature by general law may provide that, in determining the market value for ad valorem taxation of a residence homestead that is more than 30 years old and is located in a tax increment financing reinvestment zone created by a municipality under a law authorized by Section 1-g(b) of this article or in the area adjacent to the zone, the officials responsible for appraising property for taxation in the county may exclude from consideration the value of new or substantially remodeled residential properties that are located in the same neighborhood as the residence homestead being appraised and that would otherwise be considered in appraising the residence homestead.  The general law may provide additional eligibility requirements for appraisal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that the officials responsible for appraising property for ad valorem taxation in a county may exclude from consideration the value of new or substantially remodeled residential property when determining the market value of an older residence homestead located in or near a tax increment financing reinvestment zone."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