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87R9095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148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make certain appropriations to the Employees Retirement System of Texas and the Teacher Retirement System of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67(b)(3), Article XVI, Texas Constitution, is amended to read as follows:</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The amount contributed by the state may not be less than six percent nor more than 10 percent of the aggregate compensation paid to individuals participating in the system. </w:t>
      </w:r>
      <w:r>
        <w:rPr>
          <w:u w:val="single"/>
        </w:rPr>
        <w:t xml:space="preserve">The legislature may appropriate sums in excess of 10 percent of the aggregate compensation paid to individuals participating in the system for the purpose of reducing the unfunded liability of the Employees Retirement System of Texas or the Teacher Retirement System of Texas.</w:t>
      </w:r>
      <w:r>
        <w:t xml:space="preserve">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permitting the legislature to make appropriations to certain state retirement systems to reduce the unfunded liability of the systems."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