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87R8713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H.J.R.</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review and terminate an order issued by the governor during a state of disaster or emergency declared by the governor.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Section 40 of this article, the legislature may review and terminate during a regular or special session an order issued by the governor during a state of disaster or emergency declared by the governor. The legislature may terminate the order by passage of a resolution approved by a majority vote of the members present in each house of the legislature.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 under Subsection (a) of this section is not subject to Section 15, Article IV, of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authorize the legislature to review and terminate an order issued by the governor during a state of disaster or emergency declared by the 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