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Sanford</w:t>
      </w:r>
      <w:r xml:space="preserve">
        <w:tab wTab="150" tlc="none" cTlc="0"/>
      </w:r>
      <w:r>
        <w:t xml:space="preserve">H.J.R.</w:t>
      </w:r>
      <w:r xml:space="preserve">
        <w:t> </w:t>
      </w:r>
      <w:r>
        <w:t xml:space="preserve">No.</w:t>
      </w:r>
      <w:r xml:space="preserve">
        <w:t> </w:t>
      </w:r>
      <w:r>
        <w:t xml:space="preserve">151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requiring the legislature to convene into special session on petition of at least two-thirds of the members of each house of the legislature following certain disaster or emergency declarations.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 Article IV, Texas Constitution,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state of emergency extends over 60 days in a geographic area containing over sixty percent of the total state  population, the legislature shall convene in special session on receipt of a petition requesting the special session that is signed by at least two-thirds of the members of each house of the  legislature. The petition must state the date the Legislature must  convene the special session and the specific purpose or purposes  for which the session is convened. The proclamation must provide  for convening the legislature on the date stated in the petition and must authorize the legislature to consider the specific purpose  or purposes stated in the petition.</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2, 2021. </w:t>
      </w:r>
      <w:r>
        <w:t xml:space="preserve"> </w:t>
      </w:r>
      <w:r>
        <w:t xml:space="preserve">The ballot shall be printed to provide for voting for or against the proposition: "The constitutional amendment requiring the legislature to convene into special session on petition of at least two-thirds of the members of each house of the legislature following certain disaster or emergency declarations."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