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87R11409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H.J.R.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legislative review or approval of certain state agency rules adopted in response to a threat to public health, safety, or welfare.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 Texas Constitution, is amended by adding Section 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provide for legislative review or approval of a rule that is adopted by an agency in the executive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prior notice or hearing, or after an abbreviated period for notice and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threat of imminent peril to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law enacted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procedures regarding the renewal of a rule by a state agency;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delegate powers to either legislative house, including committees in those houses.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law enacted under this section may not authorize a person who is not an elected member of the legislature to participate in the review or approval of rules adopted by agencies in the executive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legislative review or approval of certain state agency rules adopted in response to a threat to public health, safety, or welfare."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