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87R1270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Gates</w:t>
      </w:r>
      <w:r xml:space="preserve">
        <w:tab wTab="150" tlc="none" cTlc="0"/>
      </w:r>
      <w:r>
        <w:t xml:space="preserve">H.J.R.</w:t>
      </w:r>
      <w:r xml:space="preserve">
        <w:t> </w:t>
      </w:r>
      <w:r>
        <w:t xml:space="preserve">No.</w:t>
      </w:r>
      <w:r xml:space="preserve">
        <w:t> </w:t>
      </w:r>
      <w:r>
        <w:t xml:space="preserve">157</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provide for a credit against the ad valorem taxes imposed on the property of certain businesses that are required to close by an order, proclamation, or other instrument issued by a state or local official as a result of a disaster.</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1-r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1-r.</w:t>
      </w:r>
      <w:r>
        <w:rPr>
          <w:u w:val="single"/>
        </w:rPr>
        <w:t xml:space="preserve"> </w:t>
      </w:r>
      <w:r>
        <w:rPr>
          <w:u w:val="single"/>
        </w:rPr>
        <w:t xml:space="preserve"> </w:t>
      </w:r>
      <w:r>
        <w:rPr>
          <w:u w:val="single"/>
        </w:rPr>
        <w:t xml:space="preserve">The legislature by general law may provide for a credit against the ad valorem taxes imposed on property necessary for and used to operate a business that is required to close by an order, proclamation, or other instrument issued by the governor, another official of this state, or the governing body or an official of a political subdivision of this state in response to a disaster.  The legislature may provide eligibility requirements for a credit authorized by this section and may provide formulas for computing the amount of the credit that a property owner may receive in a tax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the legislature to provide for a credit against the ad valorem taxes imposed on the property of certain businesses that are required to close by an order, proclamation, or other instrument issued by a state or local official as a result of a disaster."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