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87R10630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H.J.R.</w:t>
      </w:r>
      <w:r xml:space="preserve">
        <w:t> </w:t>
      </w:r>
      <w:r>
        <w:t xml:space="preserve">No.</w:t>
      </w:r>
      <w:r xml:space="preserve">
        <w:t> </w:t>
      </w:r>
      <w:r>
        <w:t xml:space="preserve">161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constitutionally dedicate certain revenue directed to the state highway fund for the purposes of acquiring, constructing, and maintaining public roadways.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7-e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7-e.</w:t>
      </w:r>
      <w:r>
        <w:rPr>
          <w:u w:val="single"/>
        </w:rPr>
        <w:t xml:space="preserve"> </w:t>
      </w:r>
      <w:r>
        <w:rPr>
          <w:u w:val="single"/>
        </w:rPr>
        <w:t xml:space="preserve"> </w:t>
      </w:r>
      <w:r>
        <w:rPr>
          <w:u w:val="single"/>
        </w:rPr>
        <w:t xml:space="preserve">All revenue received from fees for permits for oversize or overweight vehicles that general law directs to the state highway fund may be used only to acquire, construct, and maintain public roadways.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constitutionally dedicate certain revenue directed to the state highway fund for the purposes of acquiring, constructing, and maintaining public roadways."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