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87R8041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Slaton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March for Life has demonstrated outstanding public spirit through its dedication to the advancement of the pro-life movement;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January 22, 1974, the March for Life began as a peaceful demonstration in response to the </w:t>
      </w:r>
      <w:r>
        <w:rPr>
          <w:i/>
        </w:rPr>
        <w:t xml:space="preserve">Roe v. Wade</w:t>
      </w:r>
      <w:r>
        <w:t xml:space="preserve"> and </w:t>
      </w:r>
      <w:r>
        <w:rPr>
          <w:i/>
        </w:rPr>
        <w:t xml:space="preserve">Doe v.</w:t>
      </w:r>
      <w:r xml:space="preserve">
        <w:rPr>
          <w:i/>
        </w:rPr>
        <w:t> </w:t>
      </w:r>
      <w:r>
        <w:rPr>
          <w:i/>
        </w:rPr>
        <w:t xml:space="preserve">Bolton</w:t>
      </w:r>
      <w:r>
        <w:t xml:space="preserve"> decisions, and it has since grown into one of the largest annual pro-life events in the world; each year, thousands of civic-minded individuals gather to march on Capitol Hill, and many more express their support through state marches and donations;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its annual demonstrations, the organization advocates year round through the March for Life Action Activist Network; in 2020, this initiative connected more than 200,000 activists with legislators at the local, state, and federal level; it strives to make lobbying more accessible and ensure that its members can exercise their civic responsibility;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March for Life has benefited from the able leadership of its president, Jeanne F. Mancini, and the president of March for Life Action, Tom McClusky; among its goals for 2021, the organization plans to hold five state marches, expand its activist network, and increase its outreach on social and mainstream media;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more than four and a half decades, the members of March for Life have made a lasting difference through their political activism, and they may indeed take great pride in their contributions;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March for Life on its political engagement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organization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