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87R12876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Ava Barton of the Girl Scouts of San Jacinto Troop No.</w:t>
      </w:r>
      <w:r xml:space="preserve">
        <w:t> </w:t>
      </w:r>
      <w:r>
        <w:t xml:space="preserve">4189 has planned and implemented a project entitled "Honor the Flag" for the Girl Scout Silver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resident of Lumberton, Ms.</w:t>
      </w:r>
      <w:r xml:space="preserve">
        <w:t> </w:t>
      </w:r>
      <w:r>
        <w:t xml:space="preserve">Barton initiated the project to help provide her community with a designated place for people to take damaged flags for proper disposal; this notable endeavor involved repurposing a stainless-steel box that was once used for library book returns; after cleaning and repairing damages to the receptacle, Ms.</w:t>
      </w:r>
      <w:r xml:space="preserve">
        <w:t> </w:t>
      </w:r>
      <w:r>
        <w:t xml:space="preserve">Barton painted the box with an original design that features state and national symbols such as the Texas and U.S. flags, an armadillo, and a bald eagle, as well as the image of an American soldier;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Barton is the daughter of Myia and David Barton; a student at Lumberton Middle School, she has participated in Girl Scouts since the first grade; she also enjoys taking tae kwon do classes, and she is a member of Praise Church in Beaumont;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leadership and dedication that Ava Barton has demonstrated in completing her project exemplify the highest ideals of the Girl Scouts organization, and she may indeed reflect with pride on a job well done;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Ava Barton on her "Honor the Flag" project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Barton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