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90th birthday of a civic-minded Texan is indeed cause for celebration, and Mary Susan Lamb Jenkins is marking this significant milestone in her life on March 19,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daughter of Marguerite Kavanaugh Splane and Clarence William Lamb Sr., the former Sue Lamb was born in Houston in 1931; she graduated from Liberty High School and Sam Houston State University and embarked on a career in education; over the years, she taught English in Baytown, Liberty, and Anahuac, where she was a sponsor for cheerleading and UIL; she always ensured that her students were familiar with parliamentary procedure; along the way, she also worked briefly for Humble Oil in Houston;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Mrs.</w:t>
      </w:r>
      <w:r xml:space="preserve">
        <w:t> </w:t>
      </w:r>
      <w:r>
        <w:t xml:space="preserve">Jenkins joined the Republican Party in 1952, inspired by General Dwight D. Eisenhower's military service during World War II; committed to the party's values and ideals, she persuaded her mother and many others to follow her example; she became one of the 10 founding members of the Chambers County Republican Women, and her affiliation with the party is considered the longest in the area; in addition, she has served on the board of the Chambers County Museum at Wallisville, and she is a member of the Daughters of the American Revolution, the Baytown Quilt Guild, and the Anahuac Fine Arts Club;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her dedication to her community, Sue Jenkins has earned the respect and admiration of all who are privileged to know her, and this special occasion provides a welcome opportunity to recognize her many contributions;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Mary Susan Lamb Jenkins on her 90th birthday and extend to her sincere best wishes for continued happiness;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Mrs.</w:t>
      </w:r>
      <w:r xml:space="preserve">
        <w:t> </w:t>
      </w:r>
      <w:r>
        <w:t xml:space="preserve">Jenkins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Middleton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282 was adopted by the House on March 18,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