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90th birthday of a civic-minded Texan is indeed cause for celebration, and Mary Susan Lamb Jenkins is marking this significant milestone in her life on March 19,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Marguerite Kavanaugh Splane and Clarence William Lamb Sr., the former Sue Lamb was born in Houston in 1931; she graduated from Liberty High School and Sam Houston State University and embarked on a career in education; over the years, she taught English in Baytown, Liberty, and Anahuac, where she was a sponsor for cheerleading and UIL; she always ensured that her students were familiar with parliamentary procedure; along the way, she also worked briefly for Humble Oil in Houston;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Jenkins joined the Republican Party in 1952, inspired by General Dwight D. Eisenhower's military service during World War II; committed to the party's values and ideals, she persuaded her mother and many others to follow her example; she became one of the 10 founding members of the Chambers County Republican Women, and her affiliation with the party is considered the longest in the area; in addition, she has served on the board of the Chambers County Museum at Wallisville, and she is a member of the Daughters of the American Revolution, the Baytown Quilt Guild, and the Anahuac Fine Arts Club;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dedication to her community, Sue Jenkins has earned the respect and admiration of all who are privileged to know her, and this special occasion provides a welcome opportunity to recognize her many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Mary Susan Lamb Jenkins on her 90th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Jenkins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Middleton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282 was adopted by the House on March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