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87R13303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90th birthday of a civic-minded Texan is indeed cause for celebration, and Mary Susan Lamb Jenkins is marking this significant milestone in her life on March 19,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Marguerite Kavanaugh Splane and Clarence William Lamb Sr., the former Sue Lamb was born in Houston in 1931; she graduated from Liberty High School and Sam Houston State University and embarked on a career in education; over the years, she taught English in Baytown, Liberty, and Anahuac, where she was a sponsor for cheerleading and UIL; she always ensured that her students were familiar with parliamentary procedure; along the way, she also worked briefly for Humble Oil in Houston;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Jenkins joined the Republican Party in 1952, inspired by General Dwight D. Eisenhower's military service during World War II; committed to the party's values and ideals, she persuaded her mother and many others to follow her example; she became one of the 10 founding members of the Chambers County Republican Women, and her affiliation with the party is considered the longest in the area; in addition, she has served on the board of the Chambers County Museum at Wallisville, and she is a member of the Daughters of the American Revolution, the Baytown Quilt Guild, and the Anahuac Fine Arts Club;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dedication to her community, Sue Jenkins has earned the respect and admiration of all who are privileged to know her, and this special occasion provides a welcome opportunity to recognize her many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Mary Susan Lamb Jenkins on her 90th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Jenkins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