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Rudy Garcia, head coach of the Edinburg North High School boys' basketball team, recorded his 500th career win on January 16,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milestone victory came in a matchup against Mission High School; the Cougars triumphed 60-37, lifting their coach to a new level of success;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beginning his 30-year coaching career at Sharyland Junior High School, Coach Garcia began overseeing the junior varsity team at Edinburg North; he went on to serve as head coach at Sharyland High School for 12 years before returning to Edinburg North for the past 15 seasons;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tallying a total of 500 wins, Rudy Garcia has furthered his exceptional coaching legacy, and he is a source of great pride to his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Rudy Garcia on his 500th career victory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Coach Garcia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Canales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349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