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87R13448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Fight Crime: Invest in Kids, a nonprofit, nonpartisan organization dedicated to providing guidance and support to at-risk youth, is celebrating its 25th anniversary in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1996, the organization is composed of sheriffs, chiefs of police, other law enforcement executives, and concerned citizens in all 50 states, who share a commitment to steering children away from crime and setting them on a path to long-term success;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law enforcement leaders who are part of the group work to ensure that Texas children and families have access to high-quality, evidence-based resources, including voluntary parent coaching, early childhood care and education, and afterschool and anti-recidivism programs; in addition, the organization operates a Police Training Institute where officers are instructed on how to de-escalate conflict and have safe, positive interactions with at-risk young people;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outstanding work to help youth reach their full potential, the  dedicated members of Fight Crime: Invest in Kids have made their communities stronger and safer, and it is indeed a pleasure to recognize this commendable group as it celebrates a significant milestone in its history;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commemorate the 25th anniversary of Fight Crime: Invest in Kids and recognize its members for the contributions they have made to the health, security, and well-being of Texas children;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organization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