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Medical City Arlington has earned designation as a Level III Neonatal Intensive Care Unit Facility from the Texas Department of State Health Services;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recognition is awarded to facilities that go above and beyond the state's minimum hospital licensure requirements to ensure the highest quality care for mothers and newborn babies; the designation reflects an administrative and operational dedication to improving, expediting, and standardizing treatment of neonatal patients;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its outstanding neonatal care, Medical City Arlington provides a wide range of services in areas such as labor and delivery, gynecologic surgery, infertility, and breast health, and it has received designation as a Level II Trauma Center and a Level 2 Stroke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Medical City Arlington has played a vital role in ensuring the health and well-being of area residents, and its Level III Neonatal Intensive Care Unit Facility designation is a testament to the exceptional skill and dedication of its physicians, administrators, and staff;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Medical City Arlington on its designation as a Level III Neonatal Intensive Care Unit Facility and extend to all those associated with the hospital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Medical City Arlington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Tinderholt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634 was adopted by the House on April 16,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