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87R18931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Medical City Arlington has earned designation as a Level III Neonatal Intensive Care Unit Facility from the Texas Department of State Health Services;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recognition is awarded to facilities that go above and beyond the state's minimum hospital licensure requirements to ensure the highest quality care for mothers and newborn babies; the designation reflects an administrative and operational dedication to improving, expediting, and standardizing treatment of neonatal patients;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its outstanding neonatal care, Medical City Arlington provides a wide range of services in areas such as labor and delivery, gynecologic surgery, infertility, and breast health, and it has received designation as a Level II Trauma Center and a Level 2 Stroke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Medical City Arlington has played a vital role in ensuring the health and well-being of area residents, and its Level III Neonatal Intensive Care Unit Facility designation is a testament to the exceptional skill and dedication of its physicians, administrators, and staff;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Medical City Arlington on its designation as a Level III Neonatal Intensive Care Unit Facility and extend to all those associated with the hospital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Medical City Arlington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