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87R18918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648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2022, marks the 51st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 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w:t>
      </w:r>
      <w:r>
        <w:t xml:space="preserve"> 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w:t>
      </w:r>
      <w:r>
        <w:t xml:space="preserve"> magazine as one of the Essential Latin Albums of the Past 50 Years; to date, </w:t>
      </w:r>
      <w:r>
        <w:rPr>
          <w:i/>
        </w:rPr>
        <w:t xml:space="preserve">Amor Prohibido</w:t>
      </w:r>
      <w:r>
        <w:t xml:space="preserve"> 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w:t>
      </w:r>
      <w:r>
        <w:t xml:space="preserve"> carried the news on its front page and </w:t>
      </w:r>
      <w:r>
        <w:rPr>
          <w:i/>
        </w:rPr>
        <w:t xml:space="preserve">People</w:t>
      </w:r>
      <w:r>
        <w:t xml:space="preserve"> 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 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nearly three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87th Texas Legislature hereby commemorate the 51st anniversary of the birth of Selena Quintanilla Pérez.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