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Proud residents of Kosse are gathering on June 11 and 12, 2021, to mark the 150th anniversary of their community at a celebration hosted by the City of Kosse and the Kosse Community Center;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conjunction with an annual homecoming weekend, local entities are planning a host of activities to commemorate the town's sesquicentennial; festivities include a barbecue cook-off, a 5K run, a parade, and a street dance; the Kosse Heritage Society will offer tours, and the public is invited to attend an open house at the new Kosse City Hall and Municipal Court Building;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history of Kosse dates back to the 1840s when settlers made their homes near Duck Creek and ran a stage stop for the Franklin-Springfield and Waco-Marlin stagecoach routes; in 1869, the completion of the Houston and Texas Central Railway brought new businesses and a post office to the area, and in 1871, the town was officially incorporated;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Today, the economy is supported by the Luminant Kosse Mine, agriculture, ranching, and local businesses; residents and visitors alike enjoy the peaceful atmosphere, and nearby Lake Limestone and Fort Parker State Park are popular destinations for fishing, boating, and camping;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Citizens of Kosse are dedicated stewards of their rich heritage while they work to build an even brighter future, and this special anniversary provides a fitting opportunity to recognize their unique Texas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commemorate the 150th anniversary of Kosse and extend to all those participating in the celebration sincere best wishes for a memorable and meaningful event.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Kacal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658 was adopted by the House on April 23,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