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658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residents of Kosse are gathering on June 11 and 12, 2021, to mark the 150th anniversary of their community at a celebration hosted by the City of Kosse and the Kosse Community Center;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conjunction with an annual homecoming weekend, local entities are planning a host of activities to commemorate the town's sesquicentennial; festivities include a barbecue cook-off, a 5K run, a parade, and a street dance; the Kosse Heritage Society will offer tours, and the public is invited to attend an open house at the new Kosse City Hall and Municipal Court Building;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history of Kosse dates back to the 1840s when settlers made their homes near Duck Creek and ran a stage stop for the Franklin-Springfield and Waco-Marlin stagecoach routes; in 1869, the completion of the Houston and Texas Central Railway brought new businesses and a post office to the area, and in 1871, the town was officially incorporated;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Today, the economy is supported by the Luminant Kosse Mine, agriculture, ranching, and local businesses; residents and visitors alike enjoy the peaceful atmosphere, and nearby Lake Limestone and Fort Parker State Park are popular destinations for fishing, boating, and camping;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Citizens of Kosse are dedicated stewards of their rich heritage while they work to build an even brighter future, and this special anniversary provides a fitting opportunity to recognize their unique Texas community;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commemorate the 150th anniversary of Kosse and extend to all those participating in the celebration sincere best wishes for a memorable and meaningful event.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Kacal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658 was adopted by the House on April 23,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658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