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Businesses that employ Texans and support the state's economy are important components of a prosperous future, and the long history of McDonald's restaurants in Texas is being celebrated with McDonald's Virtual Legislative Day on April 21,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McDonald's franchises represent a major economic presence in the Lone Star State, and they provide significant benefit by returning much of the revenues they generate to local economies;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Nearly 92,000 Texans are employed at the 1,191 McDonald's restaurants currently operating across the state; in 2019, the company's restaurants in Texas purchased 182 million pounds of beef, 36.2 million pounds of cheese, 1.1 million pounds of coffee, 44 million pounds of flour, 3 million pounds of onions, 4.7 million pounds of sugar, and 9 million gallons of milk, representing over $1 billion in revenue to Texas suppliers;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addition, Texas chapters of the Ronald McDonald House Charities helped more than 66,000 children and their families in 2019, and McDonald's has invested $6.7 million in tuition assistance for approximately 2,800 Texas employees seeking higher education through its Archways to Opportunity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McDonald's restaurants across the state have made significant contributions to their communities, and their owners/operators may take great pride in their success and in their educational and charitable programs;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recognize April 21, 2021, as McDonald's Virtual Legislative Day.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Vo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739 was adopted by the House on April 30,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