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87R21527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Businesses that employ Texans and support the state's economy are important components of a prosperous future, and the long history of McDonald's restaurants in Texas is being celebrated with McDonald's Virtual Legislative Day on April 21,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McDonald's franchises represent a major economic presence in the Lone Star State, and they provide significant benefit by returning much of the revenues they generate to local economies;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Nearly 92,000 Texans are employed at the 1,191 McDonald's restaurants currently operating across the state; in 2019, the company's restaurants in Texas purchased 182 million pounds of beef, 36.2 million pounds of cheese, 1.1 million pounds of coffee, 44 million pounds of flour, 3 million pounds of onions, 4.7 million pounds of sugar, and 9 million gallons of milk, representing over $1 billion in revenue to Texas suppliers;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addition, Texas chapters of the Ronald McDonald House Charities helped more than 66,000 children and their families in 2019, and McDonald's has invested $6.7 million in tuition assistance for approximately 2,800 Texas employees seeking higher education through its Archways to Opportunity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McDonald's restaurants across the state have made significant contributions to their communities, and their owners/operators may take great pride in their success and in their educational and charitable programs;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recognize April 21, 2021, as McDonald's Virtual Legislative Day.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