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Honorable Nicholas Chu, justice of the peace for Precinct 5 in Travis County, has demonstrated remarkable initiative and commitment to service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2017, Judge Nick Chu was elected to office, becoming the first Asian American justice of the peace in the State of Texas; after the start of the COVID-19 pandemic in 2020, he was the first judge in Texas to preside over a fully virtual jury trial and the first in the nation to preside over a fully virtual criminal jury trial; he serves as chair of the Texas Supreme Court COVID-19 Response Task Force for Justice Courts and as a member of its Remote Proceedings Task Force; throughout the pandemic, he has been a leader in protecting renters from eviction and in implementing appropriate protocols to limit the public's exposure to the COVID-19 virus, and measures he has developed have been adopted by courts across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in his family to become an attorney, Judge Chu earned his bachelor's degree in government from The University of Texas and his law degree from Baylor University; he has served on the executive committee of the American Bar Association National Conference of Specialized Court Judges and as a faculty member of the Texas Justice Court Training Center; he has also held many leadership positions in the Democratic Party in Texas, and he has been the chair of the Committee on Political Education for the Central Labor Council;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Judge Chu benefits from the love and support of his wife, Kathryn, and his daughter, Vivia;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Nick Chu's dedication, integrity, and spirit of innovation have greatly benefited the citizens of Travis County during a time of crisis, and he is truly deserving of special recognition for his impressive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Judge Nicholas Chu for his service to Travis County during the COVID-19 pandemic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Judge Chu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Israel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740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