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Red Oak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6,000 students, Red Oak ISD seeks to foster a challenging and supportive learning environment where young people are equipped to excel in every aspect of their education; the small suburban district covers 42 square miles and employs more than 900 members of faculty and staff at 7 campuses; highly acclaimed, the district is currently ranked among the top three percent in the nation by Niche.com, and it was named a state semifinalist in the 2019 H-E-B Excellence in Education Awards; and</w:t>
      </w:r>
    </w:p>
    <w:p w:rsidR="003F3435" w:rsidRDefault="0032493E">
      <w:pPr>
        <w:spacing w:line="480" w:lineRule="auto"/>
        <w:ind w:firstLine="720"/>
        <w:jc w:val="both"/>
      </w:pPr>
      <w:r>
        <w:t xml:space="preserve">WHEREAS, Red Oak ISD is ably guided by superintendent Brenda Sanford, and it also benefits from the leadership of its board of trustees, which includes John Anderson, Penny Story, Michelle Porter, Joy Shaw, Melanie Petersen, Johnny Knight, and Brian Sebring; and</w:t>
      </w:r>
    </w:p>
    <w:p w:rsidR="003F3435" w:rsidRDefault="0032493E">
      <w:pPr>
        <w:spacing w:line="480" w:lineRule="auto"/>
        <w:ind w:firstLine="720"/>
        <w:jc w:val="both"/>
      </w:pPr>
      <w:r>
        <w:t xml:space="preserve">WHEREAS, The administrators, teachers, staff, and school board of Red Oak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Red Oak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Red Oak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