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87R23990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963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Lubbock Christian University women's basketball team once again proved itself the finest NCAA Division II squad in the nation by winning the 2021 national championship on March 26; and</w:t>
      </w:r>
    </w:p>
    <w:p w:rsidR="003F3435" w:rsidRDefault="0032493E">
      <w:pPr>
        <w:spacing w:line="480" w:lineRule="auto"/>
        <w:ind w:firstLine="720"/>
        <w:jc w:val="both"/>
      </w:pPr>
      <w:r>
        <w:t xml:space="preserve">WHEREAS, Unbeaten during the regular season, the Lady Chaps went on to claim the league tournament title and entered the NCAA tournament as a top seed; LCU dominated its regional bracket and then notched a commanding victory over Daemen College in the Elite Eight quarterfinals and a dramatic 63-61 victory over Central Missouri to advance to the national championship game; and</w:t>
      </w:r>
    </w:p>
    <w:p w:rsidR="003F3435" w:rsidRDefault="0032493E">
      <w:pPr>
        <w:spacing w:line="480" w:lineRule="auto"/>
        <w:ind w:firstLine="720"/>
        <w:jc w:val="both"/>
      </w:pPr>
      <w:r>
        <w:t xml:space="preserve">WHEREAS, Top-ranked LCU battled for the crown against No.</w:t>
      </w:r>
      <w:r xml:space="preserve">
        <w:t> </w:t>
      </w:r>
      <w:r>
        <w:t xml:space="preserve">2 Drury University; the Lady Chaps took an early advantage and extended the lead to 21 points before withstanding a furious rally by Drury late in the game; clutch free-throw shooting proved decisive, however, as LCU triumphed by the final score of 69-59; the Lady Chaps celebrated their third title, adding to the trophies they collected in 2016 and 2019, and became the first Division II team to record two undefeated seasons; and</w:t>
      </w:r>
    </w:p>
    <w:p w:rsidR="003F3435" w:rsidRDefault="0032493E">
      <w:pPr>
        <w:spacing w:line="480" w:lineRule="auto"/>
        <w:ind w:firstLine="720"/>
        <w:jc w:val="both"/>
      </w:pPr>
      <w:r>
        <w:t xml:space="preserve">WHEREAS, LCU was paced in the championship game by Allie Schulte, who racked up a team-high 18 points and was joined in double-digit scoring by Madelyn Turner, Emma Middleton, and Ashton Duncan; the Lady Chaps also received valuable contributions throughout the year from the other members of the roster, and the players were ably guided by head coach Steve Gomez and his assistants; and</w:t>
      </w:r>
    </w:p>
    <w:p w:rsidR="003F3435" w:rsidRDefault="0032493E">
      <w:pPr>
        <w:spacing w:line="480" w:lineRule="auto"/>
        <w:ind w:firstLine="720"/>
        <w:jc w:val="both"/>
      </w:pPr>
      <w:r>
        <w:t xml:space="preserve">WHEREAS, By accomplishing the rare feat of winning a third national championship, the Lubbock Christian Lady Chaps have burnished their reputation as a basketball powerhouse, and they may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Lubbock Christian University women's basketball team on winning the 2021 NCAA Division II national championship and extend to the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