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87R22898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992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Avalon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350 students, Avalon ISD seeks to foster a challenging and supportive learning environment where young people are equipped to excel in every aspect of their education; located in a rural community in southern Ellis County, the district conducts prekindergarten through 12th grade classes at one campus, Avalon School, which boasts an average student-to-teacher ratio of 11 to 1; and</w:t>
      </w:r>
    </w:p>
    <w:p w:rsidR="003F3435" w:rsidRDefault="0032493E">
      <w:pPr>
        <w:spacing w:line="480" w:lineRule="auto"/>
        <w:ind w:firstLine="720"/>
        <w:jc w:val="both"/>
      </w:pPr>
      <w:r>
        <w:t xml:space="preserve">WHEREAS, Avalon ISD is ably guided by superintendent Khristopher Marshall, and it also benefits from the leadership of its board of trustees, which includes president Todd Bruner, vice president David Arriaga, secretary Wendy Rodriguez, and members Timothy Cashion, Shane Gill, Victor Ledesma, and Stacy Wilson; and</w:t>
      </w:r>
    </w:p>
    <w:p w:rsidR="003F3435" w:rsidRDefault="0032493E">
      <w:pPr>
        <w:spacing w:line="480" w:lineRule="auto"/>
        <w:ind w:firstLine="720"/>
        <w:jc w:val="both"/>
      </w:pPr>
      <w:r>
        <w:t xml:space="preserve">WHEREAS, The administrators, teachers, staff, and school board of Avalon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Avalon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Avalon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