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Kennelly Haas has been elected mayor of Richmond; and</w:t>
      </w:r>
    </w:p>
    <w:p w:rsidR="003F3435" w:rsidRDefault="0032493E">
      <w:pPr>
        <w:spacing w:line="480" w:lineRule="auto"/>
        <w:ind w:firstLine="720"/>
        <w:jc w:val="both"/>
      </w:pPr>
      <w:r>
        <w:t xml:space="preserve">WHEREAS, In fulfilling the duties of her office, Mayor Haas will draw on a wealth of valuable experience; she has lived in Richmond for more than half a century, and she owns Jay-Wood Trading Company in the city's historic downtown district; a chaplain and board member of Descendants of Austin's Old Three Hundred, she is also involved in several other historical organizations, including the Black Cowboy Museum, the Fort Bend County Historical Commission, and the Historic Richmond Association; and</w:t>
      </w:r>
    </w:p>
    <w:p w:rsidR="003F3435" w:rsidRDefault="0032493E">
      <w:pPr>
        <w:spacing w:line="480" w:lineRule="auto"/>
        <w:ind w:firstLine="720"/>
        <w:jc w:val="both"/>
      </w:pPr>
      <w:r>
        <w:t xml:space="preserve">WHEREAS, The effective operation of government depends on the able and dedicated efforts of our public servants, and Becky Haas may indeed take pride in her accomplishments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Rebecca Kennelly Haas on her election as mayor of Richmond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Mayor Haas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1157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