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87R26157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Collin College has been presented with a 2020-2021 Innovation of the Year Award by the League for Innovation in the Community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award was given to Collin College to recognize its creation of a new health care benefit plan called CougarCare that offers telehealth and mental health coverage at no cost to students, adjunct faculty, and part-time staff; the COVID-19 pandemic, which has imposed significant stress on students, provided the impetus for the development of the program, and Collin College's Board of Trustees approved an investment of up to $750,000 for it in July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CougarCare plan, eligible individuals can receive free on-demand virtual-visit medical care and mental health counseling from licensed physicians and counselors anywhere in the United States, with services available 24 hours a day, 7 days a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Collin College's investment in the CougarCare program is a testament to the institution's deep commitment to the success, morale, and overall well-being of its students, faculty, and staff, and this commendable endeavor is most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Collin College on its receipt of a 2020-2021 Innovation of the Year Award from the League for Innovation in the Community College and extend to its administrators, faculty, staff, and students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Collin College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