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observance of Women's History Month in March 2021 provides an opportunity to celebrate the enormous contributions women have made to our society;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1978, the event began as a weeklong program in Santa Rosa, California, sponsored by the Education Task Force of the Sonoma County Commission on the Status of Women; the organizers selected the week of March 8 to correspond with International Women's Day; activities included an essay contest, presentations at dozens of schools, and a downtown parade;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Other communities across the country were inspired to launch their own Women's History Week celebrations the following year; in 1980, the National Women's History Alliance led a consortium of women's groups and historians in advocating for national recognition, and that February, President Jimmy Carter issued a proclamation declaring the week of March 8 to be National Women's History Week;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1987, at the behest of the National Women's History Alliance, Congress expanded the observance to the entire month; the alliance selects the theme each year, and for 2021, it has chosen "Valiant Women of the Vote: Refusing to Be Silenced" to honor "the important roles of multicultural suffragists and voting rights activists";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Many historians in Texas have dedicated their efforts to discovering and recognizing the legacy of women in the Lone Star State and exploring what it means to be a Texas woman; in 1991 Governor Ann Richards supported this endeavor by issuing the first gubernatorial proclamation in the state's history to declare March Women's History Month;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Women have played a vital role in the development of Texas and the United States, and National Women's History Month provides an opportunity to acknowledge achievements that have too often gone unsung;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recognize March 2021 as National Women's History Month.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Reynolds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1333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