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87R18453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observance of Women's History Month in March 2021 provides an opportunity to celebrate the enormous contributions women have made to our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1978, the event began as a weeklong program in Santa Rosa, California, sponsored by the Education Task Force of the Sonoma County Commission on the Status of Women; the organizers selected the week of March 8 to correspond with International Women's Day; activities included an essay contest, presentations at dozens of schools, and a downtown parade;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Other communities across the country were inspired to launch their own Women's History Week celebrations the following year; in 1980, the National Women's History Alliance led a consortium of women's groups and historians in advocating for national recognition, and that February, President Jimmy Carter issued a proclamation declaring the week of March 8 to be National Women's History Week;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1987, at the behest of the National Women's History Alliance, Congress expanded the observance to the entire month; the alliance selects the theme each year, and for 2021, it has chosen "Valiant Women of the Vote: Refusing to Be Silenced" to honor "the important roles of multicultural suffragists and voting rights activists";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Many historians in Texas have dedicated their efforts to discovering and recognizing the legacy of women in the Lone Star State and exploring what it means to be a Texas woman; in 1991 Governor Ann Richards supported this endeavor by issuing the first gubernatorial proclamation in the state's history to declare March Women's History Month;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Women have played a vital role in the development of Texas and the United States, and National Women's History Month provides an opportunity to acknowledge achievements that have too often gone unsung;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March 2021 as National Women's History Month.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