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Lowe Sr. Elementary School in Dallas was named a 2019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Jack Lowe Sr. Elementary was one of only 362 public and private schools nationwide and 27 schools in Texas to have earned this impressive honor in 2019; that same year, it was also awarded an "A" rating under both the Texas Education Agency's and Dallas ISD's school accountability systems; and</w:t>
      </w:r>
    </w:p>
    <w:p w:rsidR="003F3435" w:rsidRDefault="0032493E">
      <w:pPr>
        <w:spacing w:line="480" w:lineRule="auto"/>
        <w:ind w:firstLine="720"/>
        <w:jc w:val="both"/>
      </w:pPr>
      <w:r>
        <w:t xml:space="preserve">WHEREAS, This accomplishment is all the more remarkable for the school, as only five years prior to receiving Blue Ribbon recognition, it had been rated an Improvement Required campus by the TEA; under the leadership of Principal Sandra Barrios, the administrators, teachers, and students at Jack Lowe Sr. Elementary overcame the school's challenges, and it went on to be recognized for its success in closing achievement gaps; and</w:t>
      </w:r>
    </w:p>
    <w:p w:rsidR="003F3435" w:rsidRDefault="0032493E">
      <w:pPr>
        <w:spacing w:line="480" w:lineRule="auto"/>
        <w:ind w:firstLine="720"/>
        <w:jc w:val="both"/>
      </w:pPr>
      <w:r>
        <w:t xml:space="preserve">WHEREAS, Through hard work and perseverance, the teachers and students of Jack Lowe Sr. Elementary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87th Texas Legislature hereby congratulate Jack Lowe Sr. Elementary School on its selection as a 2019 National Blue Ribbon School by the U.S. Department of Education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