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1462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recognition of his service to the Amarillo Independent School District, Dr.</w:t>
      </w:r>
      <w:r xml:space="preserve">
        <w:t> </w:t>
      </w:r>
      <w:r>
        <w:t xml:space="preserve">Richard Weinberger is being inducted into the Tascosa High School Hall of Fame in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Established in 1981, the Tascosa High School Hall of Fame recognizes former Tascosa graduates and those who have served the school; each year, a committee of faculty, community members, alumni, and students selects two individuals to receive this honor;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Richard Weinberger is a graduate of Tascosa High and a former president of the Amarillo Independent School District Board of Trustees; during his tenure, he played an important role in the passage of a bond that provided funding to renovate nearly every school in the district;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able leadership and dedicated efforts, Dr.</w:t>
      </w:r>
      <w:r xml:space="preserve">
        <w:t> </w:t>
      </w:r>
      <w:r>
        <w:t xml:space="preserve">Richard Weinberger has made a positive difference in his community, and he is indeed deserving of this notable accolade;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Dr.</w:t>
      </w:r>
      <w:r xml:space="preserve">
        <w:t> </w:t>
      </w:r>
      <w:r>
        <w:t xml:space="preserve">Richard Weinberger on his induction into the Tascosa High School Hall of Fame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Dr.</w:t>
      </w:r>
      <w:r xml:space="preserve">
        <w:t> </w:t>
      </w:r>
      <w:r>
        <w:t xml:space="preserve">Weinberger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Price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1462 was adopted by the House on May 26,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1462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