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Irving A. Calderon has ably served his fellow Texans as a policy analyst intern in the office of State Representative Celia Israel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Calderon has provided vital assistance in handling a wide variety of challenging tasks; in addition to gaining valuable experience in the field of public service, he has learned more about the legislative process and the issues facing citizens of the Lone Star State; his duties have included researching legal decisions and statutes, preparing policy briefs, monitoring upcoming legislation, and staffing committee meetings;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Calderon earned his bachelor's degree in business administration in 2014 from The University of Texas at Austin, where he is currently pursuing a master's degree in public affairs; he helped established the first Voto Latino Texas chapter, and he is the recipient of a Blue Leadership Collaborative Fellowship; he is looking forward to serving as an intern in the office of U.S. Representative Colin Allred this summer;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noteworthy Texan has performed his duties as a policy analyst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Irving A. Calderon for his service as a policy analyst intern in the office of State Representative Celia Israel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Calderon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Israel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1489 was adopted by the House on May 29,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