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Beth Athaide has been named valedictorian of the Class of 2021 at St.</w:t>
      </w:r>
      <w:r xml:space="preserve">
        <w:t> </w:t>
      </w:r>
      <w:r>
        <w:t xml:space="preserve">Agnes Academy in Houston, and she indeed merits special recognition for receiving this significant honor;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Earning the title of valedictorian requires not only intellect and aptitude, but also four years of dedication to the highest academic standards; in securing her place as the top-ranking student in her class, Ms.</w:t>
      </w:r>
      <w:r xml:space="preserve">
        <w:t> </w:t>
      </w:r>
      <w:r>
        <w:t xml:space="preserve">Athaide demonstrated a thorough understanding of a wide range of subjects, and her attainment of this coveted distinction is the crowning achievement of a notable high school career;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her years at St.</w:t>
      </w:r>
      <w:r xml:space="preserve">
        <w:t> </w:t>
      </w:r>
      <w:r>
        <w:t xml:space="preserve">Agnes Academy, Beth Athaide has earned the respect and admiration of both her teachers and classmates, and her exceptional scholastic ability and commitment to excellence have opened the way to a bright and promising future for this outstanding young Texan;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Beth Athaide on being named the valedictorian of the Class of 2021 at St.</w:t>
      </w:r>
      <w:r xml:space="preserve">
        <w:t> </w:t>
      </w:r>
      <w:r>
        <w:t xml:space="preserve">Agnes Academy and extend to her sincere best wishes for continued success as she begins the next exciting chapter of her life;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Athaide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Wu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1756 was adopted by the House on May 29,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