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87R28232(51)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1831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Alice Rosas;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Alice Rosas help us continue to fulfill the promise of our democracy, and Ms.</w:t>
      </w:r>
      <w:r xml:space="preserve">
        <w:t> </w:t>
      </w:r>
      <w:r>
        <w:t xml:space="preserve">Rosas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Alice Rosas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Rosas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