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Kitchen Soul Food Restaurant and Bakery in Windcrest has won the loyalty of many area residents while contributing to the prosperity of the local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Inspired by his grandmother's cooking, owner and head chef Garlan L. McPherson opened Mrs.</w:t>
      </w:r>
      <w:r xml:space="preserve">
        <w:t> </w:t>
      </w:r>
      <w:r>
        <w:t xml:space="preserve">Kitchen in 2011, offering a variety of southern and soul food favorites; originally located on the East Side of San Antonio, Mrs.</w:t>
      </w:r>
      <w:r xml:space="preserve">
        <w:t> </w:t>
      </w:r>
      <w:r>
        <w:t xml:space="preserve">Kitchen has since outgrown the 1,700-square-foot cottage, and in 2021, the restaurant moved to a new 8,000-square-foot space in Windcrest;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McPherson is a native of San Antonio, and he previously served as a Bexar County probation officer; he holds a bachelor's degree from Texas Lutheran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furthering the unique character of their communities, locally owned businesses are integral to the Texas economy, and Mrs.</w:t>
      </w:r>
      <w:r xml:space="preserve">
        <w:t> </w:t>
      </w:r>
      <w:r>
        <w:t xml:space="preserve">Kitchen is to be commended for furthering the proud entrepreneurial tradition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Mrs.</w:t>
      </w:r>
      <w:r xml:space="preserve">
        <w:t> </w:t>
      </w:r>
      <w:r>
        <w:t xml:space="preserve">Kitchen Soul Food Restaurant and Bakery on its success and extend to Garlan McPherson and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restaurant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Gervin-Hawkins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1867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