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87R30241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Cole Cunov has distinguished himself in his responsibilities as a policy analyst for Casteel &amp; Roberts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course of his duties, Mr.</w:t>
      </w:r>
      <w:r xml:space="preserve">
        <w:t> </w:t>
      </w:r>
      <w:r>
        <w:t xml:space="preserve">Cunov has demonstrated resourcefulness and dedication while handling a wide variety of challenging tasks; under the guidance of his mentor, Cary Roberts, he has taken an active role in the firm's policy-related initiatives during the session, and his efforts have included working closely with the Greater Austin Crime Commission;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Hailing from San Antonio, Mr.</w:t>
      </w:r>
      <w:r xml:space="preserve">
        <w:t> </w:t>
      </w:r>
      <w:r>
        <w:t xml:space="preserve">Cunov is currently a junior in the Canfield Business Honors Program at The University of Texas at Austin McCombs School of Business;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Cole Cunov has performed his duties as a legislative policy analyst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Cole Cunov for his service as a legislative policy analyst for Casteel &amp; Roberts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Cunov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