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3720 (long-term care facilities for and Medicaid waiver programs available to certain individuals, including individuals with intellectual and developmental disabilities)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9(a)(2), is suspended to permit the committee to omit text not in disagreement by omitting proposed Section 531.06035, Government Code, and the transition language associated with that section.  The omitted text imposes a duty on the Health and Human Services Commission to conduct a medical necessity assessment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Explanation:  The omission of the text is necessary to remove the duty imposed on the Health and Human Services Commission to conduct certain medical necessity assessments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Explanation:  This addition is necessary to change the composition of the Texas Long-Term Care Facilities Council to include at least one member who is a community-based provider at certain intermediate care facilities.</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161.089,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executive commissioner of the Health and Human Services Commission shall adopt the rules necessary to implement Section 252.065(b), Health and Safety Code, as amended by this Act, and Section 161.089,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w:t>
      </w:r>
    </w:p>
    <w:p w:rsidR="003F3435" w:rsidRDefault="0032493E">
      <w:pPr>
        <w:spacing w:line="480" w:lineRule="auto"/>
        <w:ind w:firstLine="1440"/>
        <w:jc w:val="both"/>
      </w:pPr>
      <w:r>
        <w:t xml:space="preserve">(1)</w:t>
      </w:r>
      <w:r xml:space="preserve">
        <w:t> </w:t>
      </w:r>
      <w:r xml:space="preserve">
        <w:t> </w:t>
      </w:r>
      <w:r>
        <w:t xml:space="preserve">adopts the rules necessary to implement Section 161.089(c)(8), Human Resources Code, as added by this Act; and</w:t>
      </w:r>
    </w:p>
    <w:p w:rsidR="003F3435" w:rsidRDefault="0032493E">
      <w:pPr>
        <w:spacing w:line="480" w:lineRule="auto"/>
        <w:ind w:firstLine="1440"/>
        <w:jc w:val="both"/>
      </w:pPr>
      <w:r>
        <w:t xml:space="preserve">(2)</w:t>
      </w:r>
      <w:r xml:space="preserve">
        <w:t> </w:t>
      </w:r>
      <w:r xml:space="preserve">
        <w:t> </w:t>
      </w:r>
      <w:r>
        <w:t xml:space="preserve">develops the interpretive guidelines required by Section 161.089(c-1), Human Resources Code, as added by this Act.</w:t>
      </w:r>
    </w:p>
    <w:p w:rsidR="003F3435" w:rsidRDefault="0032493E">
      <w:pPr>
        <w:spacing w:line="480" w:lineRule="auto"/>
        <w:ind w:firstLine="720"/>
        <w:jc w:val="both"/>
      </w:pPr>
      <w:r>
        <w:t xml:space="preserve">Explanation:  The changes are necessary to implement certain changes to law relating to the imposition of administrative penalties against certain long-term care facilities, including a change to the amount of an administrative penalty for certain violations committed by intermediate care facilities for individuals with an intellectual disability and a change to ensure the executive commissioner of the Health and Human Services Commission adopts standard and consistent rules relating to the interpretation and consistent application of administrative penalties against certain long-term care facilities.</w:t>
      </w:r>
    </w:p>
    <w:p w:rsidR="003F3435" w:rsidRDefault="0032493E">
      <w:pPr>
        <w:jc w:val="both"/>
      </w:pPr>
    </w:p>
    <w:p w:rsidR="003F3435" w:rsidRDefault="0032493E">
      <w:pPr>
        <w:jc w:val="right"/>
      </w:pPr>
      <w:r>
        <w:t xml:space="preserve">Frank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2027 was adopted by the House on May 30, 2021,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