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Dustin Tropp has ably served his fellow citizens as legislative director in the office of State Representative Hugh D. Shine during the 87th Legislature; and</w:t>
      </w:r>
    </w:p>
    <w:p w:rsidR="003F3435" w:rsidRDefault="0032493E">
      <w:pPr>
        <w:spacing w:line="480" w:lineRule="auto"/>
        <w:ind w:firstLine="720"/>
        <w:jc w:val="both"/>
      </w:pPr>
      <w:r>
        <w:t xml:space="preserve">WHEREAS, Mr.</w:t>
      </w:r>
      <w:r xml:space="preserve">
        <w:t> </w:t>
      </w:r>
      <w:r>
        <w:t xml:space="preserve">Tropp's resourcefulness and initiative have earned the appreciation of his colleagues, and his contributions to carrying forth Representative Shine's legislative agenda have helped address issues facing citizens across the Lone Star State;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Dustin Tropp for his service as legislative director in the office of State Representative Hugh D. Shine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Tropp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