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20 (Murr/Huffman)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2076</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20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in SECTION 4 of the bill, in added Articles 17.021(b), (d), (e), and (f), Code of Criminal Procedure,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a form that must be signed by the person setting bail and that lists each factor provided by Article 17.15(a) and requires the person setting bail to certify on the form that the person considered each of those factors;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 summary form, the criminal history of the defendant;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information regarding the applicability of any required or discretionary bond conditions;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collect information on the bail decision.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upon by a judge or magistrate in making a bail decision;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a component of the public safety report system, the office shall electronically collect each form completed under Subsection (b)(2) and shall use those forms to collect data regarding the number of defendants for whom bail was set during the preceding state fiscal year,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office shall submit a report containing the data collected from the public safety report system during the preceding state fiscal year to the governor, the lieutenant governor, the speaker of the house of representatives, and the presiding officers of the standing committees of each house of the legislature with jurisdiction over the judiciary.</w:t>
      </w:r>
    </w:p>
    <w:p w:rsidR="003F3435" w:rsidRDefault="0032493E">
      <w:pPr>
        <w:spacing w:line="480" w:lineRule="auto"/>
        <w:ind w:firstLine="720"/>
        <w:jc w:val="both"/>
      </w:pPr>
      <w:r>
        <w:t xml:space="preserve">Explanation:</w:t>
      </w:r>
      <w:r xml:space="preserve">
        <w:t> </w:t>
      </w:r>
      <w:r xml:space="preserve">
        <w:t> </w:t>
      </w:r>
      <w:r>
        <w:t xml:space="preserve">This change is necessary to clarify the requirements of the public safety report system.</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in SECTION 5 of the bill, in added Article 17.03(b-2), Code of Criminal Procedure,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22.01(a)(1) (assault), if the offense is punishable as a felony of the second degree under Subsection (b-2) of that section;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43.25 (sexual performance by a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listed in Subdivision (1),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offense punishable as a felony.</w:t>
      </w:r>
    </w:p>
    <w:p w:rsidR="003F3435" w:rsidRDefault="0032493E">
      <w:pPr>
        <w:spacing w:line="480" w:lineRule="auto"/>
        <w:ind w:firstLine="720"/>
        <w:jc w:val="both"/>
      </w:pPr>
      <w:r>
        <w:t xml:space="preserve">Explanation:</w:t>
      </w:r>
      <w:r xml:space="preserve">
        <w:t> </w:t>
      </w:r>
      <w:r xml:space="preserve">
        <w:t> </w:t>
      </w:r>
      <w:r>
        <w:t xml:space="preserve">This change is necessary to clarify which persons are ineligible to be released on personal bond.</w:t>
      </w:r>
    </w:p>
    <w:p w:rsidR="003F3435" w:rsidRDefault="0032493E">
      <w:pPr>
        <w:spacing w:line="480" w:lineRule="auto"/>
        <w:ind w:firstLine="720"/>
        <w:jc w:val="both"/>
      </w:pPr>
      <w:r>
        <w:t xml:space="preserve">(3)</w:t>
      </w:r>
      <w:r xml:space="preserve">
        <w:t> </w:t>
      </w:r>
      <w:r xml:space="preserve">
        <w:t> </w:t>
      </w:r>
      <w:r>
        <w:t xml:space="preserve">House Rule 13, Section 9(a)(4), is suspended to permit the committee to add text on a matter not included in either the house or senate version of the bill in SECTION 7 of the bill, in added Article 17.15(a)(6), Code of Criminal Procedure, to read as follows:</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720"/>
        <w:jc w:val="both"/>
      </w:pPr>
      <w:r>
        <w:t xml:space="preserve">Explanation:</w:t>
      </w:r>
      <w:r xml:space="preserve">
        <w:t> </w:t>
      </w:r>
      <w:r xml:space="preserve">
        <w:t> </w:t>
      </w:r>
      <w:r>
        <w:t xml:space="preserve">This change is necessary to explain the responsibilities of a person setting bail with respect to a defendant's criminal history.</w:t>
      </w:r>
    </w:p>
    <w:p w:rsidR="003F3435" w:rsidRDefault="0032493E">
      <w:pPr>
        <w:spacing w:line="480" w:lineRule="auto"/>
        <w:ind w:firstLine="720"/>
        <w:jc w:val="both"/>
      </w:pPr>
      <w:r>
        <w:t xml:space="preserve">(4)</w:t>
      </w:r>
      <w:r xml:space="preserve">
        <w:t> </w:t>
      </w:r>
      <w:r xml:space="preserve">
        <w:t> </w:t>
      </w:r>
      <w:r>
        <w:t xml:space="preserve">House Rule 13, Section 9(a)(4), is suspended to permit the committee to add text on a matter not included in either the house or senate version of the bill in SECTION 10 of the bill, in added Article 17.50(h), Code of Criminal Procedure,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clerk of the court is not required to send a copy of an order under Subsection (a) if the Office of Court Administration of the Texas Judicial System develops a means to cause a notice of conditions of release on bond to be electronically delivered to the applicable parties required by that subsection.</w:t>
      </w:r>
    </w:p>
    <w:p w:rsidR="003F3435" w:rsidRDefault="0032493E">
      <w:pPr>
        <w:spacing w:line="480" w:lineRule="auto"/>
        <w:ind w:firstLine="720"/>
        <w:jc w:val="both"/>
      </w:pPr>
      <w:r>
        <w:t xml:space="preserve">Explanation:</w:t>
      </w:r>
      <w:r xml:space="preserve">
        <w:t> </w:t>
      </w:r>
      <w:r xml:space="preserve">
        <w:t> </w:t>
      </w:r>
      <w:r>
        <w:t xml:space="preserve">This change is needed to provide for an alternative means of delivery for certain notices.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